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360" w:before="0" w:line="312" w:lineRule="auto"/>
        <w:jc w:val="center"/>
        <w:rPr>
          <w:rFonts w:ascii="Verdana" w:cs="Verdana" w:eastAsia="Verdana" w:hAnsi="Verdana"/>
          <w:b w:val="1"/>
          <w:sz w:val="36"/>
          <w:szCs w:val="36"/>
        </w:rPr>
      </w:pPr>
      <w:bookmarkStart w:colFirst="0" w:colLast="0" w:name="_7wff1no4octu" w:id="0"/>
      <w:bookmarkEnd w:id="0"/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Le RIC </w:t>
      </w:r>
      <w:r w:rsidDel="00000000" w:rsidR="00000000" w:rsidRPr="00000000">
        <w:rPr>
          <w:rFonts w:ascii="Verdana" w:cs="Verdana" w:eastAsia="Verdana" w:hAnsi="Verdana"/>
          <w:i w:val="1"/>
          <w:sz w:val="36"/>
          <w:szCs w:val="36"/>
          <w:rtl w:val="0"/>
        </w:rPr>
        <w:t xml:space="preserve">(Référendum d’Initiative Citoyenne)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36"/>
          <w:szCs w:val="36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 c’est quoi 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0" w:before="0" w:line="312" w:lineRule="auto"/>
        <w:jc w:val="both"/>
        <w:rPr>
          <w:rFonts w:ascii="Verdana" w:cs="Verdana" w:eastAsia="Verdana" w:hAnsi="Verdana"/>
          <w:b w:val="1"/>
          <w:sz w:val="36"/>
          <w:szCs w:val="36"/>
        </w:rPr>
      </w:pPr>
      <w:bookmarkStart w:colFirst="0" w:colLast="0" w:name="_u6faxaa8g7g" w:id="1"/>
      <w:bookmarkEnd w:id="1"/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Définition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Un RIC</w:t>
      </w:r>
      <w:r w:rsidDel="00000000" w:rsidR="00000000" w:rsidRPr="00000000">
        <w:rPr>
          <w:rFonts w:ascii="Verdana" w:cs="Verdana" w:eastAsia="Verdana" w:hAnsi="Verdana"/>
          <w:i w:val="1"/>
          <w:sz w:val="23"/>
          <w:szCs w:val="23"/>
          <w:rtl w:val="0"/>
        </w:rPr>
        <w:t xml:space="preserve"> (Référendum d’Initiative Citoyenne)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est un référendum organisé à l’initiative d’une partie des citoyens. Il est parfois appelé référendum d’initiative populaire.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C’est un outil qui permet aux citoyens d’être à l’initiative d’une proposition et de prendre eux-mêmes la décision sans intervention de leurs représentants.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900" w:lineRule="auto"/>
        <w:jc w:val="center"/>
        <w:rPr>
          <w:rFonts w:ascii="Verdana" w:cs="Verdana" w:eastAsia="Verdana" w:hAnsi="Verdana"/>
          <w:b w:val="1"/>
          <w:sz w:val="42"/>
          <w:szCs w:val="42"/>
        </w:rPr>
      </w:pPr>
      <w:r w:rsidDel="00000000" w:rsidR="00000000" w:rsidRPr="00000000">
        <w:rPr>
          <w:rFonts w:ascii="Verdana" w:cs="Verdana" w:eastAsia="Verdana" w:hAnsi="Verdana"/>
          <w:b w:val="1"/>
          <w:sz w:val="42"/>
          <w:szCs w:val="42"/>
        </w:rPr>
        <w:drawing>
          <wp:inline distB="114300" distT="114300" distL="114300" distR="114300">
            <wp:extent cx="6840000" cy="2082800"/>
            <wp:effectExtent b="0" l="0" r="0" t="0"/>
            <wp:docPr descr="Étapes principales d'un RIC" id="2" name="image1.png"/>
            <a:graphic>
              <a:graphicData uri="http://schemas.openxmlformats.org/drawingml/2006/picture">
                <pic:pic>
                  <pic:nvPicPr>
                    <pic:cNvPr descr="Étapes principales d'un RIC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left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utres étapes pourraient être ajoutées :</w:t>
      </w:r>
    </w:p>
    <w:p w:rsidR="00000000" w:rsidDel="00000000" w:rsidP="00000000" w:rsidRDefault="00000000" w:rsidRPr="00000000" w14:paraId="0000000C">
      <w:pPr>
        <w:spacing w:after="0" w:lineRule="auto"/>
        <w:jc w:val="left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La détection d’une problématique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L’élaboration de proposition(s)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La présélection de proposition(s)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La fusion de propositions similaires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Les débats contradictoires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Le choix du mode de scrutin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L’application de la décision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etc.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Chaque étape peut être composée de sous-étapes pour affiner le processus et le rendre plus efficace.</w:t>
        <w:br w:type="textWrapping"/>
        <w:t xml:space="preserve">Pour chacune de ces étapes et sous-étapes, différentes procédures existent à travers le monde et d’autres sont encore à imaginer. C’est ce que l’on appelle les modalités.</w:t>
      </w:r>
    </w:p>
    <w:p w:rsidR="00000000" w:rsidDel="00000000" w:rsidP="00000000" w:rsidRDefault="00000000" w:rsidRPr="00000000" w14:paraId="00000017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0" w:before="0" w:line="312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0" w:before="0" w:line="312" w:lineRule="auto"/>
        <w:jc w:val="center"/>
        <w:rPr>
          <w:rFonts w:ascii="Verdana" w:cs="Verdana" w:eastAsia="Verdana" w:hAnsi="Verdana"/>
          <w:b w:val="1"/>
          <w:sz w:val="36"/>
          <w:szCs w:val="36"/>
        </w:rPr>
      </w:pPr>
      <w:bookmarkStart w:colFirst="0" w:colLast="0" w:name="_l77ev43l4u7r" w:id="2"/>
      <w:bookmarkEnd w:id="2"/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Les formes de Référendum d’Initiative Citoyenne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Les formes les plus connues (souvent appelé RIC CARL) 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RIC Constituant :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modification de la Constitution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RIC Abrogatif :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annulation d’un texte de loi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RIC Révocatoire :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destitution d’un membre d’une institution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RIC Législatif :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adoption d’un texte (loi, décret, arrêté, règlement…)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i w:val="1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i w:val="1"/>
          <w:sz w:val="23"/>
          <w:szCs w:val="23"/>
          <w:rtl w:val="0"/>
        </w:rPr>
        <w:t xml:space="preserve">Lorsqu’un RIC se compose de ces 4 formes, il est souvent appelé RIC CARL. Contrairement à ce que peut laisser sous-entendre l’expression RIC CARL, le nombre de formes de RIC possibles n’est pas figé.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Les formes moins connues 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RIC Ratificatoire (ou Conventionnel)</w:t>
        <w:br w:type="textWrapping"/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ratification ou dénonciation d’un traité, pacte, accord international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RIC Suspensif (ou 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Veto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)</w:t>
        <w:br w:type="textWrapping"/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suspension ou annulation d’une loi avant son entrée en vigueur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RIC 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Convocatoire</w:t>
      </w: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convocation d’une assemblée tirée au sort, d’un collège d’experts…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rtl w:val="0"/>
        </w:rPr>
        <w:t xml:space="preserve">RIC Dissolutif</w:t>
        <w:br w:type="textWrapping"/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dissolution d’une assemblée, d’une commission…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06.9565217391305" w:lineRule="auto"/>
        <w:ind w:left="720" w:hanging="360"/>
      </w:pPr>
      <w:r w:rsidDel="00000000" w:rsidR="00000000" w:rsidRPr="00000000">
        <w:rPr>
          <w:rFonts w:ascii="Verdana" w:cs="Verdana" w:eastAsia="Verdana" w:hAnsi="Verdana"/>
          <w:i w:val="1"/>
          <w:sz w:val="23"/>
          <w:szCs w:val="23"/>
          <w:rtl w:val="0"/>
        </w:rPr>
        <w:t xml:space="preserve">etc.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b w:val="1"/>
          <w:i w:val="1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3"/>
          <w:szCs w:val="23"/>
          <w:rtl w:val="0"/>
        </w:rPr>
        <w:t xml:space="preserve">D’autres types de RIC sont encore à imaginer…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jc w:val="both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Lorsqu’il est dit “en toutes matières”, le RIC peut porter sur toutes les thématiques ci-dessus (plus celles qui n’ont pas encore été imaginées) et son champ d’application ne peut pas être limité (certains pays excluent la matière fiscale par exemple).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800100</wp:posOffset>
            </wp:positionV>
            <wp:extent cx="1943100" cy="19431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5229225</wp:posOffset>
            </wp:positionH>
            <wp:positionV relativeFrom="paragraph">
              <wp:posOffset>247650</wp:posOffset>
            </wp:positionV>
            <wp:extent cx="1612538" cy="1612538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538" cy="1612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0" w:before="0" w:line="312" w:lineRule="auto"/>
        <w:jc w:val="center"/>
        <w:rPr>
          <w:rFonts w:ascii="Verdana" w:cs="Verdana" w:eastAsia="Verdana" w:hAnsi="Verdana"/>
          <w:b w:val="1"/>
          <w:sz w:val="38"/>
          <w:szCs w:val="38"/>
        </w:rPr>
      </w:pPr>
      <w:bookmarkStart w:colFirst="0" w:colLast="0" w:name="_d4nbnw7be4r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0" w:before="0" w:line="312" w:lineRule="auto"/>
        <w:jc w:val="center"/>
        <w:rPr/>
      </w:pPr>
      <w:bookmarkStart w:colFirst="0" w:colLast="0" w:name="_2s1orldhkvm0" w:id="4"/>
      <w:bookmarkEnd w:id="4"/>
      <w:r w:rsidDel="00000000" w:rsidR="00000000" w:rsidRPr="00000000">
        <w:rPr>
          <w:rFonts w:ascii="Verdana" w:cs="Verdana" w:eastAsia="Verdana" w:hAnsi="Verdana"/>
          <w:b w:val="1"/>
          <w:sz w:val="38"/>
          <w:szCs w:val="38"/>
          <w:rtl w:val="0"/>
        </w:rPr>
        <w:t xml:space="preserve">Pour en savoir plus</w:t>
        <w:br w:type="textWrapping"/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38"/>
            <w:szCs w:val="38"/>
            <w:u w:val="single"/>
            <w:rtl w:val="0"/>
          </w:rPr>
          <w:t xml:space="preserve">ric-france.fr/ric</w:t>
        </w:r>
      </w:hyperlink>
      <w:r w:rsidDel="00000000" w:rsidR="00000000" w:rsidRPr="00000000">
        <w:rPr>
          <w:rFonts w:ascii="Verdana" w:cs="Verdana" w:eastAsia="Verdana" w:hAnsi="Verdana"/>
          <w:b w:val="1"/>
          <w:sz w:val="38"/>
          <w:szCs w:val="3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ic-france.fr/ric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